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Доклад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Зайнетдиновой Э.М.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к совещанию с кадастровыми инженерами 31.10.2025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numPr>
          <w:ilvl w:val="0"/>
          <w:numId w:val="28"/>
        </w:numPr>
        <w:ind w:left="0" w:right="0" w:firstLine="567"/>
        <w:spacing w:line="276" w:lineRule="auto"/>
        <w:tabs>
          <w:tab w:val="left" w:pos="851" w:leader="none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некоторых вопросах, связанных с уплатой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государственной пошлины.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969"/>
        <w:ind w:left="0" w:right="0" w:firstLine="567"/>
        <w:jc w:val="both"/>
        <w:spacing w:line="276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напоминаю о </w:t>
      </w:r>
      <w:r>
        <w:rPr>
          <w:rFonts w:ascii="Times New Roman" w:hAnsi="Times New Roman" w:cs="Times New Roman"/>
          <w:sz w:val="28"/>
          <w:szCs w:val="28"/>
        </w:rPr>
        <w:t xml:space="preserve">вступлени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в сил</w:t>
      </w:r>
      <w:r>
        <w:rPr>
          <w:rFonts w:ascii="Times New Roman" w:hAnsi="Times New Roman" w:cs="Times New Roman"/>
          <w:sz w:val="28"/>
          <w:szCs w:val="28"/>
        </w:rPr>
        <w:t xml:space="preserve">у положений Федерального закона от 31.07.2025 № 275-ФЗ «О внесении изменений в главу 25.3 части второй Налогового кодекса Российской Федерации», касающихся уплаты государственной пошлины за государственный кадастровый учет и (или) государственную регистрац</w:t>
      </w:r>
      <w:r>
        <w:rPr>
          <w:rFonts w:ascii="Times New Roman" w:hAnsi="Times New Roman" w:cs="Times New Roman"/>
          <w:sz w:val="28"/>
          <w:szCs w:val="28"/>
        </w:rPr>
        <w:t xml:space="preserve">ию прав на недвижимое имущество.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ind w:left="0" w:right="0"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ind w:left="0" w:right="0"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О годе завершения строительства.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01.03.2025 статья 52 </w:t>
      </w:r>
      <w:r>
        <w:rPr>
          <w:rFonts w:ascii="Times New Roman" w:hAnsi="Times New Roman"/>
          <w:sz w:val="28"/>
          <w:szCs w:val="28"/>
        </w:rPr>
        <w:t xml:space="preserve">ГрК</w:t>
      </w:r>
      <w:r>
        <w:rPr>
          <w:rStyle w:val="948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дополнена в том числе частью 13</w:t>
      </w:r>
      <w:r>
        <w:rPr>
          <w:rFonts w:ascii="Times New Roman" w:hAnsi="Times New Roman"/>
          <w:sz w:val="28"/>
          <w:szCs w:val="28"/>
        </w:rPr>
        <w:t xml:space="preserve">, согласно которой в</w:t>
      </w:r>
      <w:r>
        <w:rPr>
          <w:rFonts w:ascii="Times New Roman" w:hAnsi="Times New Roman"/>
          <w:sz w:val="28"/>
          <w:szCs w:val="28"/>
        </w:rPr>
        <w:t xml:space="preserve"> случае, если в соответствии с частью 17 статьи 51 </w:t>
      </w:r>
      <w:r>
        <w:rPr>
          <w:rFonts w:ascii="Times New Roman" w:hAnsi="Times New Roman"/>
          <w:sz w:val="28"/>
          <w:szCs w:val="28"/>
        </w:rPr>
        <w:t xml:space="preserve">ГрК</w:t>
      </w:r>
      <w:r>
        <w:rPr>
          <w:rFonts w:ascii="Times New Roman" w:hAnsi="Times New Roman"/>
          <w:sz w:val="28"/>
          <w:szCs w:val="28"/>
        </w:rPr>
        <w:t xml:space="preserve"> для строительства или реконструкции здания или сооружения не требуются получение разрешения на строительство и (или) подготовка проектной документации, строительство или реконструкция здания или сооружения (помещений или </w:t>
      </w:r>
      <w:r>
        <w:rPr>
          <w:rFonts w:ascii="Times New Roman" w:hAnsi="Times New Roman"/>
          <w:sz w:val="28"/>
          <w:szCs w:val="28"/>
        </w:rPr>
        <w:t xml:space="preserve">машино</w:t>
      </w:r>
      <w:r>
        <w:rPr>
          <w:rFonts w:ascii="Times New Roman" w:hAnsi="Times New Roman"/>
          <w:sz w:val="28"/>
          <w:szCs w:val="28"/>
        </w:rPr>
        <w:t xml:space="preserve">-мест в таких здании или сооружении) считаются завершенными со дня осуществления их </w:t>
      </w:r>
      <w:r>
        <w:rPr>
          <w:rFonts w:ascii="Times New Roman" w:hAnsi="Times New Roman"/>
          <w:sz w:val="28"/>
          <w:szCs w:val="28"/>
        </w:rPr>
        <w:t xml:space="preserve">ГКУ</w:t>
      </w:r>
      <w:r>
        <w:rPr>
          <w:rFonts w:ascii="Times New Roman" w:hAnsi="Times New Roman"/>
          <w:sz w:val="28"/>
          <w:szCs w:val="28"/>
        </w:rPr>
        <w:t xml:space="preserve">. Положения части </w:t>
      </w:r>
      <w:r>
        <w:rPr>
          <w:rFonts w:ascii="Times New Roman" w:hAnsi="Times New Roman"/>
          <w:sz w:val="28"/>
          <w:szCs w:val="28"/>
        </w:rPr>
        <w:t xml:space="preserve">13 статьи 52 </w:t>
      </w:r>
      <w:r>
        <w:rPr>
          <w:rFonts w:ascii="Times New Roman" w:hAnsi="Times New Roman"/>
          <w:sz w:val="28"/>
          <w:szCs w:val="28"/>
        </w:rPr>
        <w:t xml:space="preserve">ГрК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применяются также в отношении жилого дома или садового дома, строительство или реконструкция которых осуществлялись без получения уведомления, предусмотренного пунктом 2 части 12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татьи</w:t>
      </w:r>
      <w:r>
        <w:rPr>
          <w:rFonts w:ascii="Times New Roman" w:hAnsi="Times New Roman"/>
          <w:sz w:val="28"/>
          <w:szCs w:val="28"/>
        </w:rPr>
        <w:t xml:space="preserve"> 52 </w:t>
      </w:r>
      <w:r>
        <w:rPr>
          <w:rFonts w:ascii="Times New Roman" w:hAnsi="Times New Roman"/>
          <w:sz w:val="28"/>
          <w:szCs w:val="28"/>
        </w:rPr>
        <w:t xml:space="preserve">ГрК</w:t>
      </w:r>
      <w:r>
        <w:rPr>
          <w:rFonts w:ascii="Times New Roman" w:hAnsi="Times New Roman"/>
          <w:sz w:val="28"/>
          <w:szCs w:val="28"/>
        </w:rPr>
        <w:t xml:space="preserve">, при условии, что строительство или реконструкция указанных объектов без получения такого уведомления допускаются федеральным законом.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кадастровыми инженерами при подготовке технических планов год завершения ст</w:t>
      </w:r>
      <w:r>
        <w:rPr>
          <w:rFonts w:ascii="Times New Roman" w:hAnsi="Times New Roman"/>
          <w:sz w:val="28"/>
          <w:szCs w:val="28"/>
        </w:rPr>
        <w:t xml:space="preserve">роительства должен указываться в соответствии с годом подачи заявления об осуществлении государственного кадастрового учета таких объектов недвижимости, и сведения о годе завершения строительства в ЕГРН также должны соответствовать году осуществления ГКУ.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для подготовки технического плана могут быть использован</w:t>
      </w:r>
      <w:r>
        <w:rPr>
          <w:rFonts w:ascii="Times New Roman" w:hAnsi="Times New Roman"/>
          <w:sz w:val="28"/>
          <w:szCs w:val="28"/>
        </w:rPr>
        <w:t xml:space="preserve">ы документы (например, технический паспорт, составленный до 01.01.2013), подтверждающие иной год завершения строительства, тогда в таких случаях в техническом плане может быть указан год завершения строительства отличный от года, в котором осуществлен ГКУ.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 Об изменении материала стен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объектов капитального строительства.</w:t>
      </w:r>
      <w:r>
        <w:rPr>
          <w:rFonts w:ascii="Times New Roman" w:hAnsi="Times New Roman"/>
          <w:b/>
          <w:i/>
          <w:sz w:val="28"/>
          <w:szCs w:val="28"/>
        </w:rPr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Росреестром в одном из регионов в ходе выборочного мониторинга было выявлено, что на основании представленных в орган регистрации прав технических планов, подготовленных как на основании разрешительных документов </w:t>
      </w:r>
      <w:r>
        <w:rPr>
          <w:rFonts w:ascii="Times New Roman" w:hAnsi="Times New Roman"/>
          <w:sz w:val="28"/>
          <w:szCs w:val="28"/>
        </w:rPr>
        <w:t xml:space="preserve">и проектных документаций, выданных/подготовленных при создании объектов, так и новых проектных документаций, подготовленных в связи с реконструкцией/капитальным ремонтом, а также технических заключений проектных организаций изменяется материал стен зданий.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обращаю внимание на то, что материал стен может быть изменен только в случаях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ранее выданных разрешительных документах содержится ошибка и такая ошибка подтверждена уполномоченным органом, выдавшим такие документы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ранее представленном на ГКУ техническом план</w:t>
      </w:r>
      <w:r>
        <w:rPr>
          <w:rFonts w:ascii="Times New Roman" w:hAnsi="Times New Roman"/>
          <w:sz w:val="28"/>
          <w:szCs w:val="28"/>
        </w:rPr>
        <w:t xml:space="preserve">е материал стен указан не в соответствии с разрешительными документами, при этом необходимо учитывать, что в справочнике кодов материала стен указаны не все материалы, поэтому, если не установлен код для конкретного материала стен (например, сэндвич-панели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т.п</w:t>
      </w:r>
      <w:r>
        <w:rPr>
          <w:rFonts w:ascii="Times New Roman" w:hAnsi="Times New Roman"/>
          <w:sz w:val="28"/>
          <w:szCs w:val="28"/>
        </w:rPr>
        <w:t xml:space="preserve">), то</w:t>
      </w:r>
      <w:r>
        <w:rPr>
          <w:rFonts w:ascii="Times New Roman" w:hAnsi="Times New Roman"/>
          <w:sz w:val="28"/>
          <w:szCs w:val="28"/>
        </w:rPr>
        <w:t xml:space="preserve">, полагаем, что</w:t>
      </w:r>
      <w:r>
        <w:rPr>
          <w:rFonts w:ascii="Times New Roman" w:hAnsi="Times New Roman"/>
          <w:sz w:val="28"/>
          <w:szCs w:val="28"/>
        </w:rPr>
        <w:t xml:space="preserve"> должен быть выбран код – «из прочих материалов»</w:t>
      </w:r>
      <w:r>
        <w:rPr>
          <w:rFonts w:ascii="Times New Roman" w:hAnsi="Times New Roman"/>
          <w:sz w:val="28"/>
          <w:szCs w:val="28"/>
        </w:rPr>
        <w:t xml:space="preserve">, «иное»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осуществлена такая реконструкция здания, </w:t>
      </w:r>
      <w:r>
        <w:rPr>
          <w:rFonts w:ascii="Times New Roman" w:hAnsi="Times New Roman"/>
          <w:sz w:val="28"/>
          <w:szCs w:val="28"/>
        </w:rPr>
        <w:t xml:space="preserve">в результате которой действительно был изменен материал стен, что должно подтверждаться проектной документации (т.е. в такой документации не просто должен быть указан материал стен, а должны быть описаны работы в результате которых изменился материал стен)</w:t>
      </w:r>
      <w:r>
        <w:rPr>
          <w:rFonts w:ascii="Times New Roman" w:hAnsi="Times New Roman"/>
          <w:sz w:val="28"/>
          <w:szCs w:val="28"/>
        </w:rPr>
        <w:t xml:space="preserve">, и, соответственно, в установленных законодательством случаях разрешительной документацией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напоминаю, что исключение сведений о наименовании объекта и </w:t>
      </w:r>
      <w:r>
        <w:rPr>
          <w:rFonts w:ascii="Times New Roman" w:hAnsi="Times New Roman"/>
          <w:sz w:val="28"/>
          <w:szCs w:val="28"/>
        </w:rPr>
        <w:t xml:space="preserve">внесение</w:t>
      </w:r>
      <w:r>
        <w:rPr>
          <w:rFonts w:ascii="Times New Roman" w:hAnsi="Times New Roman"/>
          <w:sz w:val="28"/>
          <w:szCs w:val="28"/>
        </w:rPr>
        <w:t xml:space="preserve"> сведений о </w:t>
      </w:r>
      <w:r>
        <w:rPr>
          <w:rFonts w:ascii="Times New Roman" w:hAnsi="Times New Roman"/>
          <w:sz w:val="28"/>
          <w:szCs w:val="28"/>
          <w:highlight w:val="none"/>
        </w:rPr>
        <w:t xml:space="preserve">виде разрешенного использования (далее - </w:t>
      </w:r>
      <w:r>
        <w:rPr>
          <w:rFonts w:ascii="Times New Roman" w:hAnsi="Times New Roman"/>
          <w:sz w:val="28"/>
          <w:szCs w:val="28"/>
        </w:rPr>
        <w:t xml:space="preserve">ВРИ) объекта должно осуществляться строго в рамках, установленных частью 19 статьи 70 Закона № 218-ФЗ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Выбираемый заявителем ВРИ объекта капитального строительства должен соответствовать ВРИ</w:t>
      </w:r>
      <w:r>
        <w:rPr>
          <w:rFonts w:ascii="Times New Roman" w:hAnsi="Times New Roman"/>
          <w:sz w:val="28"/>
          <w:szCs w:val="28"/>
        </w:rPr>
        <w:t xml:space="preserve"> земельного участка, объекта</w:t>
      </w:r>
      <w:r>
        <w:rPr>
          <w:rFonts w:ascii="Times New Roman" w:hAnsi="Times New Roman"/>
          <w:sz w:val="28"/>
          <w:szCs w:val="28"/>
        </w:rPr>
        <w:t xml:space="preserve"> недви</w:t>
      </w:r>
      <w:r>
        <w:rPr>
          <w:rFonts w:ascii="Times New Roman" w:hAnsi="Times New Roman"/>
          <w:sz w:val="28"/>
          <w:szCs w:val="28"/>
        </w:rPr>
        <w:t xml:space="preserve">жимости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Кроме того, при внесении ВРИ государственному регистратору прав необходимо </w:t>
      </w:r>
      <w:r>
        <w:rPr>
          <w:rFonts w:ascii="Times New Roman" w:hAnsi="Times New Roman"/>
          <w:sz w:val="28"/>
          <w:szCs w:val="28"/>
        </w:rPr>
        <w:t xml:space="preserve">проверить</w:t>
      </w:r>
      <w:r>
        <w:rPr>
          <w:rFonts w:ascii="Times New Roman" w:hAnsi="Times New Roman"/>
          <w:sz w:val="28"/>
          <w:szCs w:val="28"/>
        </w:rPr>
        <w:t xml:space="preserve"> описание такого ВРИ, данное в Классификаторе ВРИ земельных участков, утвержденном приказом Росреестра от</w:t>
      </w:r>
      <w:r>
        <w:rPr>
          <w:rFonts w:ascii="Times New Roman" w:hAnsi="Times New Roman"/>
          <w:sz w:val="28"/>
          <w:szCs w:val="28"/>
        </w:rPr>
        <w:t xml:space="preserve"> 10.11.2020 № П/0412</w:t>
      </w:r>
      <w:r>
        <w:rPr>
          <w:rFonts w:ascii="Times New Roman" w:hAnsi="Times New Roman"/>
          <w:sz w:val="28"/>
          <w:szCs w:val="28"/>
        </w:rPr>
        <w:t xml:space="preserve">, то есть соответствует ли объект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отношении которого вносится данный ВРИ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установленным параметрам (например, площади, функциональному использованию и т.п.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например, если </w:t>
      </w:r>
      <w:r>
        <w:rPr>
          <w:rFonts w:ascii="Times New Roman" w:hAnsi="Times New Roman"/>
          <w:sz w:val="28"/>
          <w:szCs w:val="28"/>
        </w:rPr>
        <w:t xml:space="preserve">ранее</w:t>
      </w:r>
      <w:r>
        <w:rPr>
          <w:rFonts w:ascii="Times New Roman" w:hAnsi="Times New Roman"/>
          <w:sz w:val="28"/>
          <w:szCs w:val="28"/>
        </w:rPr>
        <w:t xml:space="preserve"> было внесено наименование – «магазин», то не может быть внес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но ВРИ – «гостиничные услуги»</w:t>
      </w:r>
      <w:r>
        <w:rPr>
          <w:rFonts w:ascii="Times New Roman" w:hAnsi="Times New Roman"/>
          <w:sz w:val="28"/>
          <w:szCs w:val="28"/>
        </w:rPr>
        <w:t xml:space="preserve"> без наличия подтверждающих документов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том случае, если внесение сведений о </w:t>
      </w:r>
      <w:r>
        <w:rPr>
          <w:rFonts w:ascii="Times New Roman" w:hAnsi="Times New Roman"/>
          <w:sz w:val="28"/>
          <w:szCs w:val="28"/>
        </w:rPr>
        <w:t xml:space="preserve">ВРИ свидетельствует о создании нового или иного объекта в отличие от того, сведения о котором внесены в ЕГРН, то, на наш взгляд, усматривается необходимость представления заявления о государственном кадастровом учете не только в</w:t>
      </w:r>
      <w:r>
        <w:rPr>
          <w:rFonts w:ascii="Times New Roman" w:hAnsi="Times New Roman"/>
          <w:sz w:val="28"/>
          <w:szCs w:val="28"/>
        </w:rPr>
        <w:t xml:space="preserve"> связи с внесением (изменением) ВРИ, но и в связи с изменением иных характеристик объекта недвижимости с представлением документов, установленных действующим законодательством (например, разрешение на ввод объекта в эксплуатацию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созданного в результате реконструкции, а при необходимости, и об изменении ВРИ земельного участка).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Доклад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начальника отдела государственной регистрации недвижимости № 1 Полина С.В.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к совещанию под председательством заместителя руководителя Управления Росреестра по Республике Башкортостан Зайнетдиновой Э.М. с кадастровыми инженерами 31.10.2025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pacing w:after="0" w:line="276" w:lineRule="auto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Допускаемые типичные ошибки кадастровых инженеров при подготовке межевых планов после проведения ими кадастровых работ: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зачастую указывается доступ к образуемым земельным участкам через земли общего пользования, хотя при этом имеются соответствующие земельные участки;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отсутствуют сведения о расположении объектов капитального строительства (далее - ОКС) на образуемых земельных участках, либо расположении ОКС на нескольких образуемых земельных участка; 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указание несоответсвующего целевому использованию ВРИ образуемых земельных участков (например, ОКС – магазин, ВРИ –индивидуальное жилищное строительство);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наличие незначительных пересечений образуемых земельных участков с существующими земельными участками;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несоответствие ВРИ исходных земельных участков ВРИ образуемых земельных участков;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несоответствие квартала образуемых земельных участков (например, выбирают нулевой квартал вместо квартала большего по площади земельного участка);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 истечение срока действия прибора, используемого при проведении кадастровых работ;</w:t>
      </w:r>
      <w:r/>
    </w:p>
    <w:p>
      <w:pPr>
        <w:ind w:left="0" w:right="0" w:firstLine="567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разночтение дат подготовки схемы расположения земельного участка на кадастровом плане территории, подготовленной в электронном формате и на бумажном носителе.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709" w:bottom="1135" w:left="1134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  <w:footnote w:id="3">
    <w:p>
      <w:pPr>
        <w:pStyle w:val="946"/>
      </w:pPr>
      <w:r>
        <w:rPr>
          <w:rStyle w:val="948"/>
        </w:rPr>
        <w:footnoteRef/>
      </w:r>
      <w:r>
        <w:t xml:space="preserve"> Градостроительный кодекс Российский Федерации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59435650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17</w:t>
        </w:r>
        <w:r>
          <w:fldChar w:fldCharType="end"/>
        </w:r>
        <w:r/>
      </w:p>
    </w:sdtContent>
  </w:sdt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20" w:hanging="450"/>
      </w:pPr>
      <w:rPr>
        <w:rFonts w:hint="default"/>
        <w:b/>
        <w:i w:val="0"/>
        <w:iCs/>
      </w:rPr>
    </w:lvl>
    <w:lvl w:ilvl="1">
      <w:start w:val="2"/>
      <w:numFmt w:val="decimal"/>
      <w:isLgl w:val="false"/>
      <w:suff w:val="tab"/>
      <w:lvlText w:val="%1.%2."/>
      <w:lvlJc w:val="left"/>
      <w:pPr>
        <w:ind w:left="2138" w:hanging="720"/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525" w:hanging="720"/>
      </w:pPr>
      <w:rPr>
        <w:rFonts w:hint="default"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594" w:hanging="1080"/>
      </w:pPr>
      <w:rPr>
        <w:rFonts w:hint="default"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303" w:hanging="1080"/>
      </w:pPr>
      <w:rPr>
        <w:rFonts w:hint="default"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372" w:hanging="1440"/>
      </w:pPr>
      <w:rPr>
        <w:rFonts w:hint="default"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441" w:hanging="1800"/>
      </w:pPr>
      <w:rPr>
        <w:rFonts w:hint="default"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150" w:hanging="1800"/>
      </w:pPr>
      <w:rPr>
        <w:rFonts w:hint="default"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219" w:hanging="2160"/>
      </w:pPr>
      <w:rPr>
        <w:rFonts w:hint="default"/>
        <w:i/>
      </w:r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621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3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0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7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4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2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9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6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366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2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4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16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08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16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32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0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37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484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71" w:hanging="360"/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34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0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31" w:hanging="180"/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9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6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3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0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7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5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2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94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"/>
  </w:num>
  <w:num w:numId="3">
    <w:abstractNumId w:val="1"/>
  </w:num>
  <w:num w:numId="4">
    <w:abstractNumId w:val="24"/>
  </w:num>
  <w:num w:numId="5">
    <w:abstractNumId w:val="17"/>
  </w:num>
  <w:num w:numId="6">
    <w:abstractNumId w:val="18"/>
  </w:num>
  <w:num w:numId="7">
    <w:abstractNumId w:val="0"/>
  </w:num>
  <w:num w:numId="8">
    <w:abstractNumId w:val="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14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5"/>
  </w:num>
  <w:num w:numId="18">
    <w:abstractNumId w:val="22"/>
  </w:num>
  <w:num w:numId="19">
    <w:abstractNumId w:val="11"/>
  </w:num>
  <w:num w:numId="20">
    <w:abstractNumId w:val="2"/>
  </w:num>
  <w:num w:numId="21">
    <w:abstractNumId w:val="21"/>
  </w:num>
  <w:num w:numId="22">
    <w:abstractNumId w:val="9"/>
  </w:num>
  <w:num w:numId="23">
    <w:abstractNumId w:val="12"/>
  </w:num>
  <w:num w:numId="24">
    <w:abstractNumId w:val="23"/>
  </w:num>
  <w:num w:numId="25">
    <w:abstractNumId w:val="19"/>
  </w:num>
  <w:num w:numId="26">
    <w:abstractNumId w:val="5"/>
  </w:num>
  <w:num w:numId="27">
    <w:abstractNumId w:val="1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1 Char"/>
    <w:basedOn w:val="929"/>
    <w:link w:val="927"/>
    <w:uiPriority w:val="9"/>
    <w:rPr>
      <w:rFonts w:ascii="Arial" w:hAnsi="Arial" w:eastAsia="Arial" w:cs="Arial"/>
      <w:sz w:val="40"/>
      <w:szCs w:val="40"/>
    </w:rPr>
  </w:style>
  <w:style w:type="character" w:styleId="761">
    <w:name w:val="Heading 2 Char"/>
    <w:basedOn w:val="929"/>
    <w:link w:val="928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26"/>
    <w:next w:val="92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basedOn w:val="929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26"/>
    <w:next w:val="92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basedOn w:val="929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26"/>
    <w:next w:val="92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basedOn w:val="929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26"/>
    <w:next w:val="92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basedOn w:val="929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26"/>
    <w:next w:val="92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basedOn w:val="929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26"/>
    <w:next w:val="92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basedOn w:val="929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26"/>
    <w:next w:val="92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basedOn w:val="929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26"/>
    <w:next w:val="926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>
    <w:name w:val="Title Char"/>
    <w:basedOn w:val="929"/>
    <w:link w:val="776"/>
    <w:uiPriority w:val="10"/>
    <w:rPr>
      <w:sz w:val="48"/>
      <w:szCs w:val="48"/>
    </w:rPr>
  </w:style>
  <w:style w:type="paragraph" w:styleId="778">
    <w:name w:val="Subtitle"/>
    <w:basedOn w:val="926"/>
    <w:next w:val="926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>
    <w:name w:val="Subtitle Char"/>
    <w:basedOn w:val="929"/>
    <w:link w:val="778"/>
    <w:uiPriority w:val="11"/>
    <w:rPr>
      <w:sz w:val="24"/>
      <w:szCs w:val="24"/>
    </w:rPr>
  </w:style>
  <w:style w:type="paragraph" w:styleId="780">
    <w:name w:val="Quote"/>
    <w:basedOn w:val="926"/>
    <w:next w:val="926"/>
    <w:link w:val="781"/>
    <w:uiPriority w:val="29"/>
    <w:qFormat/>
    <w:pPr>
      <w:ind w:left="720" w:right="720"/>
    </w:pPr>
    <w:rPr>
      <w:i/>
    </w:rPr>
  </w:style>
  <w:style w:type="character" w:styleId="781">
    <w:name w:val="Quote Char"/>
    <w:link w:val="780"/>
    <w:uiPriority w:val="29"/>
    <w:rPr>
      <w:i/>
    </w:rPr>
  </w:style>
  <w:style w:type="paragraph" w:styleId="782">
    <w:name w:val="Intense Quote"/>
    <w:basedOn w:val="926"/>
    <w:next w:val="926"/>
    <w:link w:val="7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>
    <w:name w:val="Intense Quote Char"/>
    <w:link w:val="782"/>
    <w:uiPriority w:val="30"/>
    <w:rPr>
      <w:i/>
    </w:rPr>
  </w:style>
  <w:style w:type="character" w:styleId="784">
    <w:name w:val="Header Char"/>
    <w:basedOn w:val="929"/>
    <w:link w:val="936"/>
    <w:uiPriority w:val="99"/>
  </w:style>
  <w:style w:type="character" w:styleId="785">
    <w:name w:val="Footer Char"/>
    <w:basedOn w:val="929"/>
    <w:link w:val="938"/>
    <w:uiPriority w:val="99"/>
  </w:style>
  <w:style w:type="paragraph" w:styleId="786">
    <w:name w:val="Caption"/>
    <w:basedOn w:val="926"/>
    <w:next w:val="9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786"/>
    <w:link w:val="938"/>
    <w:uiPriority w:val="99"/>
  </w:style>
  <w:style w:type="table" w:styleId="788">
    <w:name w:val="Table Grid Light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Grid Table 4 - Accent 1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7">
    <w:name w:val="Grid Table 4 - Accent 2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Grid Table 4 - Accent 3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9">
    <w:name w:val="Grid Table 4 - Accent 4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Grid Table 4 - Accent 5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Grid Table 4 - Accent 6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Grid Table 5 Dark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9">
    <w:name w:val="Grid Table 6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0">
    <w:name w:val="Grid Table 6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1">
    <w:name w:val="Grid Table 6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2">
    <w:name w:val="Grid Table 6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3">
    <w:name w:val="Grid Table 6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4">
    <w:name w:val="Grid Table 6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6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7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1">
    <w:name w:val="List Table 2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2">
    <w:name w:val="List Table 2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3">
    <w:name w:val="List Table 2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4">
    <w:name w:val="List Table 2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5">
    <w:name w:val="List Table 2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6">
    <w:name w:val="List Table 2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6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9">
    <w:name w:val="List Table 6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0">
    <w:name w:val="List Table 6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1">
    <w:name w:val="List Table 6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2">
    <w:name w:val="List Table 6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3">
    <w:name w:val="List Table 6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4">
    <w:name w:val="List Table 6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5">
    <w:name w:val="List Table 7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6">
    <w:name w:val="List Table 7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7">
    <w:name w:val="List Table 7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8">
    <w:name w:val="List Table 7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9">
    <w:name w:val="List Table 7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0">
    <w:name w:val="List Table 7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1">
    <w:name w:val="List Table 7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2">
    <w:name w:val="Lined - Accent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Lined - Accent 1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4">
    <w:name w:val="Lined - Accent 2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5">
    <w:name w:val="Lined - Accent 3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6">
    <w:name w:val="Lined - Accent 4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7">
    <w:name w:val="Lined - Accent 5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8">
    <w:name w:val="Lined - Accent 6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9">
    <w:name w:val="Bordered &amp; Lined - Accent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Bordered &amp; Lined - Accent 1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1">
    <w:name w:val="Bordered &amp; Lined - Accent 2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2">
    <w:name w:val="Bordered &amp; Lined - Accent 3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3">
    <w:name w:val="Bordered &amp; Lined - Accent 4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4">
    <w:name w:val="Bordered &amp; Lined - Accent 5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5">
    <w:name w:val="Bordered &amp; Lined - Accent 6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6">
    <w:name w:val="Bordered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7">
    <w:name w:val="Bordered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8">
    <w:name w:val="Bordered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9">
    <w:name w:val="Bordered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0">
    <w:name w:val="Bordered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1">
    <w:name w:val="Bordered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2">
    <w:name w:val="Bordered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3">
    <w:name w:val="Footnote Text Char"/>
    <w:link w:val="946"/>
    <w:uiPriority w:val="99"/>
    <w:rPr>
      <w:sz w:val="18"/>
    </w:rPr>
  </w:style>
  <w:style w:type="character" w:styleId="914">
    <w:name w:val="Endnote Text Char"/>
    <w:link w:val="972"/>
    <w:uiPriority w:val="99"/>
    <w:rPr>
      <w:sz w:val="20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qFormat/>
  </w:style>
  <w:style w:type="paragraph" w:styleId="927">
    <w:name w:val="Heading 1"/>
    <w:basedOn w:val="926"/>
    <w:next w:val="926"/>
    <w:link w:val="962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928">
    <w:name w:val="Heading 2"/>
    <w:basedOn w:val="926"/>
    <w:next w:val="926"/>
    <w:link w:val="971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9" w:default="1">
    <w:name w:val="Default Paragraph Font"/>
    <w:uiPriority w:val="1"/>
    <w:semiHidden/>
    <w:unhideWhenUsed/>
  </w:style>
  <w:style w:type="table" w:styleId="9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1" w:default="1">
    <w:name w:val="No List"/>
    <w:uiPriority w:val="99"/>
    <w:semiHidden/>
    <w:unhideWhenUsed/>
  </w:style>
  <w:style w:type="character" w:styleId="932">
    <w:name w:val="Hyperlink"/>
    <w:basedOn w:val="929"/>
    <w:uiPriority w:val="99"/>
    <w:unhideWhenUsed/>
    <w:rPr>
      <w:color w:val="0563c1" w:themeColor="hyperlink"/>
      <w:u w:val="single"/>
    </w:rPr>
  </w:style>
  <w:style w:type="paragraph" w:styleId="933">
    <w:name w:val="Balloon Text"/>
    <w:basedOn w:val="926"/>
    <w:link w:val="9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4" w:customStyle="1">
    <w:name w:val="Текст выноски Знак"/>
    <w:basedOn w:val="929"/>
    <w:link w:val="933"/>
    <w:uiPriority w:val="99"/>
    <w:semiHidden/>
    <w:rPr>
      <w:rFonts w:ascii="Segoe UI" w:hAnsi="Segoe UI" w:cs="Segoe UI"/>
      <w:sz w:val="18"/>
      <w:szCs w:val="18"/>
    </w:rPr>
  </w:style>
  <w:style w:type="paragraph" w:styleId="935">
    <w:name w:val="List Paragraph"/>
    <w:basedOn w:val="926"/>
    <w:link w:val="976"/>
    <w:uiPriority w:val="34"/>
    <w:qFormat/>
    <w:pPr>
      <w:contextualSpacing/>
      <w:ind w:left="720"/>
    </w:pPr>
  </w:style>
  <w:style w:type="paragraph" w:styleId="936">
    <w:name w:val="Header"/>
    <w:basedOn w:val="926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929"/>
    <w:link w:val="936"/>
    <w:uiPriority w:val="99"/>
  </w:style>
  <w:style w:type="paragraph" w:styleId="938">
    <w:name w:val="Footer"/>
    <w:basedOn w:val="926"/>
    <w:link w:val="9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929"/>
    <w:link w:val="938"/>
    <w:uiPriority w:val="99"/>
  </w:style>
  <w:style w:type="character" w:styleId="940">
    <w:name w:val="annotation reference"/>
    <w:basedOn w:val="929"/>
    <w:uiPriority w:val="99"/>
    <w:semiHidden/>
    <w:unhideWhenUsed/>
    <w:rPr>
      <w:sz w:val="16"/>
      <w:szCs w:val="16"/>
    </w:rPr>
  </w:style>
  <w:style w:type="paragraph" w:styleId="941">
    <w:name w:val="annotation text"/>
    <w:basedOn w:val="926"/>
    <w:link w:val="942"/>
    <w:uiPriority w:val="99"/>
    <w:unhideWhenUsed/>
    <w:pPr>
      <w:spacing w:after="200" w:line="240" w:lineRule="auto"/>
    </w:pPr>
    <w:rPr>
      <w:sz w:val="20"/>
      <w:szCs w:val="20"/>
    </w:rPr>
  </w:style>
  <w:style w:type="character" w:styleId="942" w:customStyle="1">
    <w:name w:val="Текст примечания Знак"/>
    <w:basedOn w:val="929"/>
    <w:link w:val="941"/>
    <w:uiPriority w:val="99"/>
    <w:rPr>
      <w:sz w:val="20"/>
      <w:szCs w:val="20"/>
    </w:rPr>
  </w:style>
  <w:style w:type="paragraph" w:styleId="943">
    <w:name w:val="annotation subject"/>
    <w:basedOn w:val="941"/>
    <w:next w:val="941"/>
    <w:link w:val="944"/>
    <w:uiPriority w:val="99"/>
    <w:semiHidden/>
    <w:unhideWhenUsed/>
    <w:pPr>
      <w:spacing w:after="160"/>
    </w:pPr>
    <w:rPr>
      <w:b/>
      <w:bCs/>
    </w:rPr>
  </w:style>
  <w:style w:type="character" w:styleId="944" w:customStyle="1">
    <w:name w:val="Тема примечания Знак"/>
    <w:basedOn w:val="942"/>
    <w:link w:val="943"/>
    <w:uiPriority w:val="99"/>
    <w:semiHidden/>
    <w:rPr>
      <w:b/>
      <w:bCs/>
      <w:sz w:val="20"/>
      <w:szCs w:val="20"/>
    </w:rPr>
  </w:style>
  <w:style w:type="table" w:styleId="945">
    <w:name w:val="Table Grid"/>
    <w:basedOn w:val="9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6">
    <w:name w:val="footnote text"/>
    <w:basedOn w:val="926"/>
    <w:link w:val="947"/>
    <w:uiPriority w:val="99"/>
    <w:unhideWhenUsed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styleId="947" w:customStyle="1">
    <w:name w:val="Текст сноски Знак"/>
    <w:basedOn w:val="929"/>
    <w:link w:val="946"/>
    <w:uiPriority w:val="99"/>
    <w:rPr>
      <w:rFonts w:ascii="Calibri" w:hAnsi="Calibri" w:cs="Times New Roman"/>
      <w:sz w:val="20"/>
      <w:szCs w:val="20"/>
    </w:rPr>
  </w:style>
  <w:style w:type="character" w:styleId="948">
    <w:name w:val="footnote reference"/>
    <w:basedOn w:val="929"/>
    <w:uiPriority w:val="99"/>
    <w:semiHidden/>
    <w:unhideWhenUsed/>
    <w:rPr>
      <w:vertAlign w:val="superscript"/>
    </w:rPr>
  </w:style>
  <w:style w:type="paragraph" w:styleId="949" w:customStyle="1">
    <w:name w:val="Style6"/>
    <w:basedOn w:val="926"/>
    <w:uiPriority w:val="99"/>
    <w:pPr>
      <w:ind w:firstLine="742"/>
      <w:jc w:val="both"/>
      <w:spacing w:after="0" w:line="322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950" w:customStyle="1">
    <w:name w:val="Font Style18"/>
    <w:basedOn w:val="929"/>
    <w:uiPriority w:val="99"/>
    <w:rPr>
      <w:rFonts w:ascii="Times New Roman" w:hAnsi="Times New Roman" w:cs="Times New Roman"/>
      <w:sz w:val="26"/>
      <w:szCs w:val="26"/>
    </w:rPr>
  </w:style>
  <w:style w:type="character" w:styleId="951" w:customStyle="1">
    <w:name w:val="Font Style19"/>
    <w:basedOn w:val="929"/>
    <w:uiPriority w:val="99"/>
    <w:rPr>
      <w:rFonts w:ascii="Times New Roman" w:hAnsi="Times New Roman" w:cs="Times New Roman"/>
      <w:i/>
      <w:iCs/>
      <w:sz w:val="26"/>
      <w:szCs w:val="26"/>
    </w:rPr>
  </w:style>
  <w:style w:type="character" w:styleId="952" w:customStyle="1">
    <w:name w:val="Font Style20"/>
    <w:basedOn w:val="929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953" w:customStyle="1">
    <w:name w:val="Font Style30"/>
    <w:basedOn w:val="929"/>
    <w:uiPriority w:val="99"/>
    <w:rPr>
      <w:rFonts w:ascii="Times New Roman" w:hAnsi="Times New Roman" w:cs="Times New Roman"/>
      <w:sz w:val="20"/>
      <w:szCs w:val="20"/>
    </w:rPr>
  </w:style>
  <w:style w:type="paragraph" w:styleId="954" w:customStyle="1">
    <w:name w:val="Style8"/>
    <w:basedOn w:val="926"/>
    <w:uiPriority w:val="99"/>
    <w:pPr>
      <w:ind w:firstLine="706"/>
      <w:jc w:val="both"/>
      <w:spacing w:after="0" w:line="317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955" w:customStyle="1">
    <w:name w:val="Основной текст (2)_"/>
    <w:basedOn w:val="929"/>
    <w:link w:val="956"/>
    <w:rPr>
      <w:shd w:val="clear" w:color="auto" w:fill="ffffff"/>
    </w:rPr>
  </w:style>
  <w:style w:type="paragraph" w:styleId="956" w:customStyle="1">
    <w:name w:val="Основной текст (2)"/>
    <w:basedOn w:val="926"/>
    <w:link w:val="955"/>
    <w:pPr>
      <w:jc w:val="center"/>
      <w:spacing w:after="0" w:line="317" w:lineRule="exact"/>
      <w:shd w:val="clear" w:color="auto" w:fill="ffffff"/>
    </w:pPr>
  </w:style>
  <w:style w:type="paragraph" w:styleId="957" w:customStyle="1">
    <w:name w:val="Абзац списка1"/>
    <w:basedOn w:val="926"/>
    <w:pPr>
      <w:contextualSpacing/>
      <w:ind w:left="720"/>
      <w:spacing w:after="0" w:line="240" w:lineRule="auto"/>
    </w:pPr>
    <w:rPr>
      <w:rFonts w:ascii="Calibri" w:hAnsi="Calibri" w:eastAsia="Times New Roman" w:cs="Times New Roman"/>
    </w:rPr>
  </w:style>
  <w:style w:type="paragraph" w:styleId="958">
    <w:name w:val="Plain Text"/>
    <w:basedOn w:val="926"/>
    <w:link w:val="959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styleId="959" w:customStyle="1">
    <w:name w:val="Текст Знак"/>
    <w:basedOn w:val="929"/>
    <w:link w:val="958"/>
    <w:uiPriority w:val="99"/>
    <w:semiHidden/>
    <w:rPr>
      <w:rFonts w:ascii="Calibri" w:hAnsi="Calibri"/>
      <w:szCs w:val="21"/>
    </w:rPr>
  </w:style>
  <w:style w:type="paragraph" w:styleId="960" w:customStyle="1">
    <w:name w:val="Обычный (Интернет)1"/>
    <w:basedOn w:val="92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62" w:customStyle="1">
    <w:name w:val="Заголовок 1 Знак"/>
    <w:basedOn w:val="929"/>
    <w:link w:val="927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963" w:customStyle="1">
    <w:name w:val="x_msonormal"/>
    <w:basedOn w:val="9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 w:customStyle="1">
    <w:name w:val="Основной текст_"/>
    <w:link w:val="965"/>
    <w:rPr>
      <w:sz w:val="27"/>
      <w:szCs w:val="27"/>
      <w:shd w:val="clear" w:color="auto" w:fill="ffffff"/>
    </w:rPr>
  </w:style>
  <w:style w:type="paragraph" w:styleId="965" w:customStyle="1">
    <w:name w:val="Основной текст1"/>
    <w:basedOn w:val="926"/>
    <w:link w:val="964"/>
    <w:pPr>
      <w:jc w:val="center"/>
      <w:spacing w:before="420" w:after="600" w:line="0" w:lineRule="atLeast"/>
      <w:shd w:val="clear" w:color="auto" w:fill="ffffff"/>
      <w:widowControl w:val="off"/>
    </w:pPr>
    <w:rPr>
      <w:sz w:val="27"/>
      <w:szCs w:val="27"/>
    </w:rPr>
  </w:style>
  <w:style w:type="paragraph" w:styleId="966">
    <w:name w:val="Revision"/>
    <w:hidden/>
    <w:uiPriority w:val="99"/>
    <w:semiHidden/>
    <w:pPr>
      <w:spacing w:after="0" w:line="240" w:lineRule="auto"/>
    </w:pPr>
  </w:style>
  <w:style w:type="paragraph" w:styleId="967" w:customStyle="1">
    <w:name w:val="Style1"/>
    <w:basedOn w:val="926"/>
    <w:uiPriority w:val="99"/>
    <w:pPr>
      <w:ind w:firstLine="698"/>
      <w:jc w:val="both"/>
      <w:spacing w:after="0" w:line="365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968" w:customStyle="1">
    <w:name w:val="Font Style15"/>
    <w:basedOn w:val="929"/>
    <w:uiPriority w:val="99"/>
    <w:rPr>
      <w:rFonts w:ascii="Times New Roman" w:hAnsi="Times New Roman" w:cs="Times New Roman"/>
      <w:sz w:val="26"/>
      <w:szCs w:val="26"/>
    </w:rPr>
  </w:style>
  <w:style w:type="paragraph" w:styleId="969">
    <w:name w:val="No Spacing"/>
    <w:uiPriority w:val="1"/>
    <w:qFormat/>
    <w:pPr>
      <w:spacing w:after="0" w:line="240" w:lineRule="auto"/>
    </w:pPr>
  </w:style>
  <w:style w:type="paragraph" w:styleId="970">
    <w:name w:val="Normal (Web)"/>
    <w:basedOn w:val="92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Заголовок 2 Знак"/>
    <w:basedOn w:val="929"/>
    <w:link w:val="928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972">
    <w:name w:val="endnote text"/>
    <w:basedOn w:val="926"/>
    <w:link w:val="97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73" w:customStyle="1">
    <w:name w:val="Текст концевой сноски Знак"/>
    <w:basedOn w:val="929"/>
    <w:link w:val="972"/>
    <w:uiPriority w:val="99"/>
    <w:semiHidden/>
    <w:rPr>
      <w:sz w:val="20"/>
      <w:szCs w:val="20"/>
    </w:rPr>
  </w:style>
  <w:style w:type="character" w:styleId="974">
    <w:name w:val="endnote reference"/>
    <w:basedOn w:val="929"/>
    <w:uiPriority w:val="99"/>
    <w:semiHidden/>
    <w:unhideWhenUsed/>
    <w:rPr>
      <w:vertAlign w:val="superscript"/>
    </w:rPr>
  </w:style>
  <w:style w:type="character" w:styleId="975" w:customStyle="1">
    <w:name w:val="Unresolved Mention"/>
    <w:basedOn w:val="929"/>
    <w:uiPriority w:val="99"/>
    <w:semiHidden/>
    <w:unhideWhenUsed/>
    <w:rPr>
      <w:color w:val="605e5c"/>
      <w:shd w:val="clear" w:color="auto" w:fill="e1dfdd"/>
    </w:rPr>
  </w:style>
  <w:style w:type="character" w:styleId="976" w:customStyle="1">
    <w:name w:val="Абзац списка Знак"/>
    <w:basedOn w:val="929"/>
    <w:link w:val="935"/>
    <w:uiPriority w:val="3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F99BB08CE5454689792EE7D6CD2808" ma:contentTypeVersion="0" ma:contentTypeDescription="Создание документа." ma:contentTypeScope="" ma:versionID="787e920e690be1faafbcb90368a6df3a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8D2C3-D5A2-460A-A622-13E410E2B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96B86-0533-44A6-8AEC-7D4DB8BF6D0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96DE238-3690-47D4-AF20-2C5AACF0B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360B406-2F4F-4A94-A524-0D291D29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Наталья Анатольевна</dc:creator>
  <cp:keywords/>
  <dc:description/>
  <cp:revision>8</cp:revision>
  <dcterms:created xsi:type="dcterms:W3CDTF">2025-09-23T10:28:00Z</dcterms:created>
  <dcterms:modified xsi:type="dcterms:W3CDTF">2025-11-08T07:13:47Z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0x010100A5F99BB08CE5454689792EE7D6CD2808</vt:lpwstr>
  </property>
  <property fmtid="{D5CDD505-2E9C-101B-9397-08002B2CF9AE}" pid="3" name="Наименовение документа">
    <vt:lpwstr>Доклад Ю.В. Куницыной</vt:lpwstr>
  </property>
</Properties>
</file>